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eastAsia="zh-Hans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Hans"/>
        </w:rPr>
        <w:t>深圳市“20+8”战略性新兴产业和未来产业集群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8522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shd w:val="clear" w:fill="BDD6EE" w:themeFill="accent1" w:themeFillTint="66"/>
                <w:vertAlign w:val="baseline"/>
                <w:lang w:val="en-US" w:eastAsia="zh-Hans"/>
              </w:rPr>
              <w:t>战略性新兴产业集群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shd w:val="clear" w:fill="BDD6EE" w:themeFill="accent1" w:themeFillTint="66"/>
                <w:vertAlign w:val="baseline"/>
                <w:lang w:eastAsia="zh-Hans"/>
              </w:rPr>
              <w:t>（20）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新一代电子信息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网络与通信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半导体与集成电路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超高清视频显示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智能终端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智能传感器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数字与时尚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软件与信息服务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人工智能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数字创意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现代时尚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高端装备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高端装备与仪器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低空经济与空天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机器人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绿色低碳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新能源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安全节能环保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智能网联汽车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新材料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高性能材料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生物医药与健康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生物医药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高端医疗器械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大健康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海洋经济</w:t>
            </w:r>
          </w:p>
        </w:tc>
        <w:tc>
          <w:tcPr>
            <w:tcW w:w="5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海洋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8522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Hans"/>
              </w:rPr>
              <w:t>未来产业集群</w:t>
            </w:r>
            <w:r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Hans"/>
              </w:rPr>
              <w:t>（8）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</w:trPr>
        <w:tc>
          <w:tcPr>
            <w:tcW w:w="8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合成生物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光载信息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智能机器人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细胞与基因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脑科学与脑机工程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深地深海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量子信息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eastAsia="zh-Hans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Hans"/>
              </w:rPr>
              <w:t>前沿新材料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zc3OGZmMDZlNDVjMjk5MjI3N2Y0NWQxZmY2ZGEifQ=="/>
    <w:docVar w:name="KSO_WPS_MARK_KEY" w:val="5745bc2f-3d1d-4d6b-9e9a-7f8a49861703"/>
  </w:docVars>
  <w:rsids>
    <w:rsidRoot w:val="00000000"/>
    <w:rsid w:val="1387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0"/>
    </w:pPr>
    <w:rPr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李真贵</cp:lastModifiedBy>
  <dcterms:modified xsi:type="dcterms:W3CDTF">2025-04-03T03:16:28Z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EF6698BCDAE742B18AE82EB880E1EE2E_12</vt:lpwstr>
  </property>
</Properties>
</file>